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0BE3ADF6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132C15" w:rsidRPr="00132C15">
        <w:rPr>
          <w:rFonts w:asciiTheme="minorEastAsia" w:eastAsiaTheme="minorEastAsia" w:hAnsiTheme="minorEastAsia" w:hint="eastAsia"/>
          <w:sz w:val="24"/>
          <w:szCs w:val="24"/>
          <w:lang w:eastAsia="zh-TW"/>
        </w:rPr>
        <w:t>テーマ館展示実施製作統括管理業務委託（その１）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132C15"/>
    <w:rsid w:val="00210D8F"/>
    <w:rsid w:val="00391F36"/>
    <w:rsid w:val="003A6916"/>
    <w:rsid w:val="00402EF1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31AFE"/>
    <w:rsid w:val="00954C32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大島 知真</cp:lastModifiedBy>
  <cp:revision>2</cp:revision>
  <dcterms:created xsi:type="dcterms:W3CDTF">2023-12-12T08:31:00Z</dcterms:created>
  <dcterms:modified xsi:type="dcterms:W3CDTF">2025-04-21T05:46:00Z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